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6"/>
      </w:tblGrid>
      <w:tr w:rsidR="0053087A" w14:paraId="655FA4B9" w14:textId="77777777" w:rsidTr="0053087A">
        <w:trPr>
          <w:trHeight w:val="1512"/>
        </w:trPr>
        <w:tc>
          <w:tcPr>
            <w:tcW w:w="2268" w:type="dxa"/>
            <w:tcBorders>
              <w:right w:val="single" w:sz="4" w:space="0" w:color="auto"/>
            </w:tcBorders>
          </w:tcPr>
          <w:p w14:paraId="4D9FF5BD" w14:textId="77777777" w:rsidR="0053087A" w:rsidRDefault="0053087A" w:rsidP="009E4B5D">
            <w:pPr>
              <w:pStyle w:val="Heading1"/>
              <w:jc w:val="center"/>
              <w:rPr>
                <w:sz w:val="18"/>
                <w:szCs w:val="18"/>
              </w:rPr>
            </w:pPr>
            <w:r w:rsidRPr="0039321E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13F2AA5" wp14:editId="0F53C2D4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3415C" w14:textId="77777777" w:rsidR="0053087A" w:rsidRDefault="0053087A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14:paraId="53EE6366" w14:textId="0B5860A9" w:rsidR="0053087A" w:rsidRDefault="00366DDE" w:rsidP="009E4B5D">
            <w:pPr>
              <w:jc w:val="center"/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32"/>
              </w:rPr>
              <w:t xml:space="preserve">İktisadi ve İdari Bilimler </w:t>
            </w:r>
            <w:r w:rsidR="007716FD">
              <w:rPr>
                <w:b/>
                <w:color w:val="000000"/>
                <w:sz w:val="32"/>
              </w:rPr>
              <w:t>Fakültesi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7716FD">
              <w:rPr>
                <w:b/>
                <w:color w:val="000000"/>
                <w:sz w:val="32"/>
              </w:rPr>
              <w:t>/</w:t>
            </w:r>
          </w:p>
          <w:p w14:paraId="7B6824FB" w14:textId="77777777" w:rsidR="0053087A" w:rsidRDefault="0053087A" w:rsidP="009E4B5D">
            <w:pPr>
              <w:pStyle w:val="Heading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Ders İzlencesi</w:t>
            </w:r>
          </w:p>
        </w:tc>
      </w:tr>
    </w:tbl>
    <w:p w14:paraId="551C696D" w14:textId="7727EF34" w:rsidR="00C15E4C" w:rsidRDefault="009D245D"/>
    <w:p w14:paraId="521093FA" w14:textId="6109C1D9" w:rsidR="0053087A" w:rsidRDefault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87"/>
        <w:gridCol w:w="1510"/>
        <w:gridCol w:w="786"/>
        <w:gridCol w:w="1486"/>
        <w:gridCol w:w="659"/>
        <w:gridCol w:w="1486"/>
        <w:gridCol w:w="1096"/>
      </w:tblGrid>
      <w:tr w:rsidR="0053087A" w:rsidRPr="002D1D79" w14:paraId="693AA8DA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C8CC6B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5FAF757A" w14:textId="3CB02137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Siyaset Bilimi ve Uluslararası İlişkiler</w:t>
            </w:r>
          </w:p>
        </w:tc>
      </w:tr>
      <w:tr w:rsidR="0053087A" w:rsidRPr="002D1D79" w14:paraId="6A38F236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0A6CA3B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  <w:r w:rsidRPr="002D1D79">
              <w:rPr>
                <w:b/>
                <w:sz w:val="18"/>
                <w:szCs w:val="18"/>
              </w:rPr>
              <w:t xml:space="preserve"> &amp; </w:t>
            </w:r>
          </w:p>
          <w:p w14:paraId="04D25CC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153D42D0" w14:textId="0F7B5437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 305 // Karşılaştırmalı Dış Politika Analizi</w:t>
            </w:r>
          </w:p>
        </w:tc>
      </w:tr>
      <w:tr w:rsidR="0053087A" w:rsidRPr="002D1D79" w14:paraId="04BBB090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5B0FAD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Haftalık Ders Saati</w:t>
            </w:r>
          </w:p>
        </w:tc>
        <w:tc>
          <w:tcPr>
            <w:tcW w:w="787" w:type="dxa"/>
            <w:shd w:val="clear" w:color="auto" w:fill="auto"/>
          </w:tcPr>
          <w:p w14:paraId="119452FE" w14:textId="095A78C2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02408CEE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Haftalık Lab./ Uygulama Saati</w:t>
            </w:r>
          </w:p>
        </w:tc>
        <w:tc>
          <w:tcPr>
            <w:tcW w:w="786" w:type="dxa"/>
            <w:shd w:val="clear" w:color="auto" w:fill="auto"/>
          </w:tcPr>
          <w:p w14:paraId="016B31D9" w14:textId="6ED7557C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14:paraId="08640BD5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</w:p>
          <w:p w14:paraId="0126A51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Kredisi</w:t>
            </w:r>
          </w:p>
        </w:tc>
        <w:tc>
          <w:tcPr>
            <w:tcW w:w="659" w:type="dxa"/>
            <w:shd w:val="clear" w:color="auto" w:fill="auto"/>
          </w:tcPr>
          <w:p w14:paraId="42994632" w14:textId="55F759ED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14:paraId="0D26D772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</w:p>
          <w:p w14:paraId="2623FB6B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  <w:tc>
          <w:tcPr>
            <w:tcW w:w="1096" w:type="dxa"/>
            <w:shd w:val="clear" w:color="auto" w:fill="auto"/>
          </w:tcPr>
          <w:p w14:paraId="4D710AE4" w14:textId="0D41B7E3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3087A" w:rsidRPr="002D1D79" w14:paraId="1E576FB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2F712EB9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kademik Yıl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241A41B5" w14:textId="343C69C5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</w:tr>
      <w:tr w:rsidR="0053087A" w:rsidRPr="002D1D79" w14:paraId="6B1B535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B653A03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156F54F7" w14:textId="71C6A55C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</w:t>
            </w:r>
          </w:p>
        </w:tc>
      </w:tr>
      <w:tr w:rsidR="0053087A" w:rsidRPr="002D1D79" w14:paraId="22A2AC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58C849" w14:textId="77777777" w:rsidR="0053087A" w:rsidRPr="008579B5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Sorumlusu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3085B47" w14:textId="0947F668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 Dr. F. Didem Ekinci</w:t>
            </w:r>
          </w:p>
        </w:tc>
      </w:tr>
      <w:tr w:rsidR="0053087A" w:rsidRPr="002D1D79" w14:paraId="6CC665EF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55D0DCEF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adresi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48B898B0" w14:textId="0F2DF210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didemekinci@cankaya.edu.tr</w:t>
            </w:r>
          </w:p>
        </w:tc>
      </w:tr>
      <w:tr w:rsidR="0053087A" w:rsidRPr="002D1D79" w14:paraId="10DC6C74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12418567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&amp;Telefon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6A77264" w14:textId="6275BEBB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 406 // 233 1242</w:t>
            </w:r>
          </w:p>
        </w:tc>
      </w:tr>
      <w:tr w:rsidR="0053087A" w:rsidRPr="002D1D79" w14:paraId="1DC71035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3395702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Saati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79CBE2C1" w14:textId="55BB4EF0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13.20-14.20-15.20, Perşembe</w:t>
            </w:r>
          </w:p>
        </w:tc>
      </w:tr>
      <w:tr w:rsidR="0053087A" w:rsidRPr="002D1D79" w14:paraId="0A6267F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8C59219" w14:textId="77777777" w:rsidR="0053087A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Ofis Saati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4E82C8E9" w14:textId="0D50DD73" w:rsidR="0053087A" w:rsidRPr="002D1D79" w:rsidRDefault="00366DDE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16.20, Perşembe</w:t>
            </w:r>
          </w:p>
        </w:tc>
      </w:tr>
      <w:tr w:rsidR="0053087A" w:rsidRPr="002D1D79" w14:paraId="632B6DEE" w14:textId="77777777" w:rsidTr="0053087A">
        <w:trPr>
          <w:trHeight w:val="567"/>
        </w:trPr>
        <w:tc>
          <w:tcPr>
            <w:tcW w:w="2283" w:type="dxa"/>
            <w:shd w:val="clear" w:color="auto" w:fill="auto"/>
          </w:tcPr>
          <w:p w14:paraId="7C3C2A7A" w14:textId="77777777" w:rsidR="0053087A" w:rsidRPr="002D1D79" w:rsidRDefault="0053087A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</w:t>
            </w:r>
            <w:r w:rsidRPr="002D1D79">
              <w:rPr>
                <w:b/>
                <w:sz w:val="18"/>
                <w:szCs w:val="18"/>
              </w:rPr>
              <w:t xml:space="preserve"> Web Site</w:t>
            </w: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7810" w:type="dxa"/>
            <w:gridSpan w:val="7"/>
            <w:shd w:val="clear" w:color="auto" w:fill="auto"/>
          </w:tcPr>
          <w:p w14:paraId="2B3674CC" w14:textId="60BBB584" w:rsidR="0053087A" w:rsidRPr="002D1D79" w:rsidRDefault="00052479" w:rsidP="009E4B5D">
            <w:pPr>
              <w:rPr>
                <w:b/>
                <w:sz w:val="18"/>
                <w:szCs w:val="18"/>
              </w:rPr>
            </w:pPr>
            <w:hyperlink r:id="rId5" w:history="1">
              <w:r w:rsidRPr="008A6EF4">
                <w:rPr>
                  <w:rStyle w:val="Hyperlink"/>
                  <w:b/>
                  <w:sz w:val="18"/>
                  <w:szCs w:val="18"/>
                </w:rPr>
                <w:t>https://psi305.cankaya.edu.tr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699CDCC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AC3EE97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78CF11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Dersin Tanımı</w:t>
            </w:r>
          </w:p>
          <w:p w14:paraId="16ACB5B7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5C8F5656" w14:textId="77777777" w:rsidTr="00F83FCE">
        <w:trPr>
          <w:cantSplit/>
          <w:trHeight w:val="1673"/>
        </w:trPr>
        <w:tc>
          <w:tcPr>
            <w:tcW w:w="10093" w:type="dxa"/>
          </w:tcPr>
          <w:p w14:paraId="39DB64B3" w14:textId="5D16405C" w:rsidR="00366DDE" w:rsidRDefault="0053087A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755F1">
              <w:rPr>
                <w:rFonts w:ascii="Arial" w:hAnsi="Arial" w:cs="Arial"/>
                <w:sz w:val="20"/>
              </w:rPr>
              <w:t xml:space="preserve"> </w:t>
            </w:r>
          </w:p>
          <w:p w14:paraId="49A51123" w14:textId="791CC7BE" w:rsidR="00366DDE" w:rsidRDefault="00366DDE" w:rsidP="009E4B5D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2. Dünya Savaşı’ndan sonra Uluslararası İlişkiler disiplininde bir alt alan olarak </w:t>
            </w:r>
            <w:r w:rsidR="00052479">
              <w:rPr>
                <w:rFonts w:ascii="Arial" w:hAnsi="Arial" w:cs="Arial"/>
                <w:sz w:val="20"/>
                <w:lang w:val="en-US"/>
              </w:rPr>
              <w:t xml:space="preserve">doğan </w:t>
            </w:r>
            <w:r>
              <w:rPr>
                <w:rFonts w:ascii="Arial" w:hAnsi="Arial" w:cs="Arial"/>
                <w:sz w:val="20"/>
                <w:lang w:val="en-US"/>
              </w:rPr>
              <w:t>dış politika analizinin tarihi evriminin, teorik perspektifler ve dış politika analizinin, temel kavramlar ile trendlerin incelenmesinin ardından, belli örneklerle birlikte seçilmiş aktörlerin dış politikalarının karşılaştırmalı olarak analizi</w:t>
            </w:r>
            <w:r w:rsidR="00052479">
              <w:rPr>
                <w:rFonts w:ascii="Arial" w:hAnsi="Arial" w:cs="Arial"/>
                <w:sz w:val="20"/>
                <w:lang w:val="en-US"/>
              </w:rPr>
              <w:t xml:space="preserve"> yapılmaktadır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51CB0F1E" w14:textId="77777777" w:rsidR="0053087A" w:rsidRDefault="0053087A" w:rsidP="0053087A"/>
    <w:tbl>
      <w:tblPr>
        <w:tblW w:w="1008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087"/>
        <w:gridCol w:w="1984"/>
        <w:gridCol w:w="2088"/>
        <w:gridCol w:w="20"/>
        <w:gridCol w:w="2286"/>
      </w:tblGrid>
      <w:tr w:rsidR="0053087A" w14:paraId="2060AC6E" w14:textId="77777777" w:rsidTr="006A093F">
        <w:trPr>
          <w:cantSplit/>
          <w:trHeight w:val="454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0B4CB" w14:textId="77777777" w:rsidR="0053087A" w:rsidRDefault="0053087A" w:rsidP="009E4B5D">
            <w:r>
              <w:rPr>
                <w:b/>
              </w:rPr>
              <w:t>Ön koşul</w:t>
            </w:r>
          </w:p>
          <w:p w14:paraId="6BC4C35C" w14:textId="77777777" w:rsidR="0053087A" w:rsidRDefault="0053087A" w:rsidP="009E4B5D">
            <w:r>
              <w:t>(varsa)</w:t>
            </w:r>
          </w:p>
          <w:p w14:paraId="768784BF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FC9BFB" w14:textId="316CC872" w:rsidR="0053087A" w:rsidRDefault="0053087A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 w:rsidR="006A093F">
              <w:rPr>
                <w:sz w:val="12"/>
                <w:szCs w:val="12"/>
              </w:rPr>
              <w:t>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C9E34A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40F8CB1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3951D0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A8896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F517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9398B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E557633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A4495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C576873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EE5F0" w14:textId="42B229DC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3C21E6CB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DD7D9B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C81DC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42BD49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08717D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9A996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9EE447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4C6727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B9FCFFC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AF95F" w14:textId="6B969107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6E86FE39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33D910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BF2438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815D83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152AC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C16B18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DA4E8A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A7DFE0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BD3CCF0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9F353" w14:textId="08BBCB93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469404B7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56A86C5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65191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23BA5C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5534D6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7CD7C9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132EAE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6A859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785BAEB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4FE52B84" w14:textId="77777777" w:rsidTr="006A093F">
        <w:trPr>
          <w:cantSplit/>
          <w:trHeight w:val="10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3B062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270D2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F2499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BC22C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4DB7D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6D5CDE2D" w14:textId="77777777" w:rsidTr="006A093F">
        <w:trPr>
          <w:cantSplit/>
          <w:trHeight w:val="45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35061" w14:textId="77777777" w:rsidR="0053087A" w:rsidRDefault="0053087A" w:rsidP="009E4B5D"/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EF6284" w14:textId="338B98FB" w:rsidR="0053087A" w:rsidRDefault="0053087A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245D">
              <w:fldChar w:fldCharType="separate"/>
            </w:r>
            <w:r>
              <w:fldChar w:fldCharType="end"/>
            </w:r>
            <w:r>
              <w:t xml:space="preserve"> </w:t>
            </w:r>
            <w:r w:rsidR="006A093F">
              <w:rPr>
                <w:sz w:val="14"/>
              </w:rPr>
              <w:t>Ders sorumlusunun onayı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5486" w14:textId="20D2BE1A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E41BE" w14:textId="5388D70E" w:rsidR="0053087A" w:rsidRDefault="0053087A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40B60" wp14:editId="06350997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3FE10" w14:textId="77777777" w:rsidR="0053087A" w:rsidRDefault="0053087A" w:rsidP="0053087A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40B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">
                      <v:path arrowok="t"/>
                      <v:textbox inset=".5mm,.5mm,.5mm,.5mm">
                        <w:txbxContent>
                          <w:p w14:paraId="54D3FE10" w14:textId="77777777" w:rsidR="0053087A" w:rsidRDefault="0053087A" w:rsidP="0053087A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245D">
              <w:fldChar w:fldCharType="separate"/>
            </w:r>
            <w:r>
              <w:fldChar w:fldCharType="end"/>
            </w:r>
            <w:r>
              <w:t xml:space="preserve"> </w:t>
            </w:r>
            <w:r w:rsidR="006A093F">
              <w:rPr>
                <w:sz w:val="14"/>
              </w:rPr>
              <w:t>Diğer</w:t>
            </w:r>
            <w:r>
              <w:rPr>
                <w:sz w:val="14"/>
              </w:rPr>
              <w:t xml:space="preserve"> </w:t>
            </w:r>
          </w:p>
        </w:tc>
      </w:tr>
      <w:tr w:rsidR="0053087A" w14:paraId="35FD9CEC" w14:textId="77777777" w:rsidTr="006A093F">
        <w:trPr>
          <w:cantSplit/>
          <w:trHeight w:val="43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4617B" w14:textId="77777777" w:rsidR="0053087A" w:rsidRDefault="0053087A" w:rsidP="009E4B5D">
            <w:r>
              <w:rPr>
                <w:b/>
              </w:rPr>
              <w:t>Eş Koşul</w:t>
            </w:r>
          </w:p>
          <w:p w14:paraId="6EDC6C58" w14:textId="77777777" w:rsidR="0053087A" w:rsidRDefault="0053087A" w:rsidP="009E4B5D">
            <w:pPr>
              <w:rPr>
                <w:b/>
                <w:sz w:val="18"/>
              </w:rPr>
            </w:pPr>
            <w:r>
              <w:t>(varsa)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3562CF" w14:textId="7810787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1.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7BF81136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301C55F9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A1B02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94862E6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906C9E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47C6D2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4750B0C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935B1EF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6B93A54" w14:textId="77777777" w:rsidR="0053087A" w:rsidRDefault="0053087A" w:rsidP="009E4B5D">
            <w:pPr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FF9024" w14:textId="753D8DB9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2.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3FCE531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79499702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733111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D22EEB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02D33D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12A3930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E0B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463AAC9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7F160B2" w14:textId="77777777" w:rsidR="0053087A" w:rsidRDefault="0053087A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17429C" w14:textId="093C045A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3.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0A7B9203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0163527D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A6023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3542D2D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FA0609E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782A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34C718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26AB08C1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19D228E" w14:textId="77777777" w:rsidR="0053087A" w:rsidRDefault="0053087A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437488" w14:textId="6279EDAF" w:rsidR="0053087A" w:rsidRDefault="006A093F" w:rsidP="009E4B5D">
            <w:pPr>
              <w:jc w:val="center"/>
            </w:pPr>
            <w:r>
              <w:rPr>
                <w:sz w:val="12"/>
                <w:szCs w:val="12"/>
              </w:rPr>
              <w:t>4.</w:t>
            </w:r>
          </w:p>
          <w:tbl>
            <w:tblPr>
              <w:tblW w:w="18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53087A" w14:paraId="5DCE7385" w14:textId="77777777" w:rsidTr="0053087A">
              <w:trPr>
                <w:trHeight w:val="295"/>
                <w:jc w:val="center"/>
              </w:trPr>
              <w:tc>
                <w:tcPr>
                  <w:tcW w:w="269" w:type="dxa"/>
                </w:tcPr>
                <w:p w14:paraId="6ADA622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56F4E084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0B55FA27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C6A679B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1915A36A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6E2AE7F5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9" w:type="dxa"/>
                </w:tcPr>
                <w:p w14:paraId="7F1182A8" w14:textId="77777777" w:rsidR="0053087A" w:rsidRDefault="0053087A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432A555" w14:textId="77777777" w:rsidR="0053087A" w:rsidRDefault="0053087A" w:rsidP="009E4B5D">
            <w:pPr>
              <w:rPr>
                <w:b/>
                <w:sz w:val="18"/>
              </w:rPr>
            </w:pPr>
          </w:p>
        </w:tc>
      </w:tr>
      <w:tr w:rsidR="0053087A" w14:paraId="226334EE" w14:textId="77777777" w:rsidTr="006A093F">
        <w:trPr>
          <w:cantSplit/>
          <w:trHeight w:val="129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9EAEA" w14:textId="77777777" w:rsidR="0053087A" w:rsidRDefault="0053087A" w:rsidP="009E4B5D"/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60367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D4B94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93958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9B0E0" w14:textId="77777777" w:rsidR="0053087A" w:rsidRDefault="0053087A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53087A" w14:paraId="1C77020C" w14:textId="77777777" w:rsidTr="0053087A">
        <w:trPr>
          <w:trHeight w:val="5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240BD" w14:textId="77777777" w:rsidR="0053087A" w:rsidRDefault="0053087A" w:rsidP="009E4B5D">
            <w:pPr>
              <w:spacing w:before="60"/>
            </w:pPr>
            <w:r>
              <w:rPr>
                <w:b/>
              </w:rPr>
              <w:t>Dersin Türü</w:t>
            </w:r>
          </w:p>
          <w:p w14:paraId="32AA67EE" w14:textId="77777777" w:rsidR="0053087A" w:rsidRDefault="0053087A" w:rsidP="009E4B5D">
            <w:pPr>
              <w:spacing w:after="60"/>
            </w:pPr>
          </w:p>
        </w:tc>
        <w:tc>
          <w:tcPr>
            <w:tcW w:w="84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1E40F" w14:textId="7F8AACBF" w:rsidR="0053087A" w:rsidRDefault="00F83FCE" w:rsidP="009E4B5D">
            <w:pPr>
              <w:rPr>
                <w:sz w:val="20"/>
              </w:rPr>
            </w:pPr>
            <w:r>
              <w:t>X</w:t>
            </w:r>
            <w:r w:rsidR="0053087A">
              <w:t xml:space="preserve"> </w:t>
            </w:r>
            <w:r w:rsidR="006A093F" w:rsidRPr="006A093F">
              <w:rPr>
                <w:sz w:val="14"/>
              </w:rPr>
              <w:t>Bölüm için zorunlu ders</w:t>
            </w:r>
            <w:r w:rsidR="0053087A">
              <w:rPr>
                <w:sz w:val="14"/>
              </w:rPr>
              <w:t xml:space="preserve"> </w:t>
            </w:r>
            <w:r w:rsidR="0053087A" w:rsidRPr="006A093F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3087A" w:rsidRPr="006A093F">
              <w:rPr>
                <w:sz w:val="14"/>
              </w:rPr>
              <w:instrText xml:space="preserve"> FORMCHECKBOX </w:instrText>
            </w:r>
            <w:r w:rsidR="009D245D">
              <w:rPr>
                <w:sz w:val="14"/>
              </w:rPr>
            </w:r>
            <w:r w:rsidR="009D245D">
              <w:rPr>
                <w:sz w:val="14"/>
              </w:rPr>
              <w:fldChar w:fldCharType="separate"/>
            </w:r>
            <w:r w:rsidR="0053087A" w:rsidRPr="006A093F">
              <w:rPr>
                <w:sz w:val="14"/>
              </w:rPr>
              <w:fldChar w:fldCharType="end"/>
            </w:r>
            <w:r w:rsidR="006A093F" w:rsidRPr="006A093F">
              <w:rPr>
                <w:sz w:val="14"/>
              </w:rPr>
              <w:t>Diğer Bölüm(ler) için zorunlu ders</w:t>
            </w:r>
            <w:r w:rsidR="0053087A">
              <w:rPr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r w:rsidR="006A093F" w:rsidRPr="006A093F">
              <w:rPr>
                <w:sz w:val="14"/>
              </w:rPr>
              <w:t xml:space="preserve"> Bölüm için seçmeli ders</w:t>
            </w:r>
            <w:r w:rsidR="0053087A">
              <w:rPr>
                <w:sz w:val="14"/>
              </w:rPr>
              <w:t xml:space="preserve">  </w:t>
            </w:r>
            <w:r>
              <w:rPr>
                <w:sz w:val="14"/>
              </w:rPr>
              <w:t>X</w:t>
            </w:r>
            <w:r w:rsidR="0053087A" w:rsidRPr="006A093F">
              <w:rPr>
                <w:sz w:val="14"/>
              </w:rPr>
              <w:t xml:space="preserve"> </w:t>
            </w:r>
            <w:r w:rsidR="006A093F" w:rsidRPr="006A093F">
              <w:rPr>
                <w:sz w:val="14"/>
              </w:rPr>
              <w:t>Diğer Bölüm(ler) için seçmeli ders</w:t>
            </w:r>
          </w:p>
        </w:tc>
      </w:tr>
    </w:tbl>
    <w:p w14:paraId="4ACB11B0" w14:textId="77777777" w:rsidR="0053087A" w:rsidRDefault="0053087A" w:rsidP="0053087A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76AA5F98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B727636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  <w:p w14:paraId="212DD753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19E19654" w14:textId="77777777" w:rsidTr="0053087A">
        <w:trPr>
          <w:cantSplit/>
          <w:trHeight w:val="1985"/>
        </w:trPr>
        <w:tc>
          <w:tcPr>
            <w:tcW w:w="10093" w:type="dxa"/>
          </w:tcPr>
          <w:p w14:paraId="586E56D3" w14:textId="275FF6E2" w:rsidR="00646E95" w:rsidRDefault="00646E95" w:rsidP="009E4B5D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F83FCE">
              <w:rPr>
                <w:sz w:val="18"/>
                <w:szCs w:val="18"/>
              </w:rPr>
              <w:t>Öğrencilerin, teorik yaklaşımlar, kavramlar, trendler, başat aktörlerin dış politika yapım</w:t>
            </w:r>
            <w:r>
              <w:rPr>
                <w:sz w:val="18"/>
                <w:szCs w:val="18"/>
              </w:rPr>
              <w:t xml:space="preserve"> </w:t>
            </w:r>
            <w:r w:rsidR="00F83FCE">
              <w:rPr>
                <w:sz w:val="18"/>
                <w:szCs w:val="18"/>
              </w:rPr>
              <w:t>süreçleri gibi</w:t>
            </w:r>
            <w:r>
              <w:rPr>
                <w:sz w:val="18"/>
                <w:szCs w:val="18"/>
              </w:rPr>
              <w:t xml:space="preserve"> dış politikanın ana bileşenlerini anlamak, analiz etmek ve yorumlamak için gerekli altyapıyı edinmelerine yardımcı olmak. </w:t>
            </w:r>
          </w:p>
          <w:p w14:paraId="0182F6FA" w14:textId="6E82F103" w:rsidR="0053087A" w:rsidRDefault="00646E95" w:rsidP="009E4B5D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-Bunu teminen, dönemin ilk yarısı teorik yaklaşımların, ikinci yarısı ise belirli dış politika olayları ve dış politika tercihlerinin incelenmesine ayrılmaktadır.</w:t>
            </w:r>
          </w:p>
          <w:p w14:paraId="58325AF4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65D324EB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51C4F3C0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EC38215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81BF21E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3F9A2FEC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774295B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6A12FEC6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1DF48643" w14:textId="77777777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3F43" w14:textId="75C4E790" w:rsidR="0053087A" w:rsidRDefault="0053087A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7E50D5B3" w14:textId="77777777" w:rsidR="0053087A" w:rsidRDefault="0053087A" w:rsidP="0053087A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53087A" w14:paraId="2323B6C4" w14:textId="77777777" w:rsidTr="0053087A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E2340C7" w14:textId="77777777" w:rsidR="0053087A" w:rsidRDefault="0053087A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Haftalık Ders İçeriği </w:t>
            </w:r>
          </w:p>
          <w:p w14:paraId="2979078F" w14:textId="77777777" w:rsidR="0053087A" w:rsidRDefault="0053087A" w:rsidP="009E4B5D"/>
        </w:tc>
      </w:tr>
      <w:tr w:rsidR="0053087A" w14:paraId="658EFDB5" w14:textId="77777777" w:rsidTr="0053087A">
        <w:tc>
          <w:tcPr>
            <w:tcW w:w="579" w:type="dxa"/>
            <w:shd w:val="pct15" w:color="auto" w:fill="auto"/>
          </w:tcPr>
          <w:p w14:paraId="2C27516D" w14:textId="77777777" w:rsidR="0053087A" w:rsidRDefault="0053087A" w:rsidP="009E4B5D">
            <w:r>
              <w:t>Hafta</w:t>
            </w:r>
          </w:p>
        </w:tc>
        <w:tc>
          <w:tcPr>
            <w:tcW w:w="9537" w:type="dxa"/>
            <w:shd w:val="pct15" w:color="auto" w:fill="auto"/>
          </w:tcPr>
          <w:p w14:paraId="7B6B7C5D" w14:textId="77777777" w:rsidR="0053087A" w:rsidRDefault="0053087A" w:rsidP="009E4B5D">
            <w:r>
              <w:t>Konu(lar)</w:t>
            </w:r>
          </w:p>
        </w:tc>
      </w:tr>
      <w:tr w:rsidR="00F14A5D" w14:paraId="3CC4D7FD" w14:textId="77777777" w:rsidTr="00D665D8">
        <w:tc>
          <w:tcPr>
            <w:tcW w:w="579" w:type="dxa"/>
          </w:tcPr>
          <w:p w14:paraId="39A807C2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  <w:vAlign w:val="center"/>
          </w:tcPr>
          <w:p w14:paraId="7E3E72BE" w14:textId="254A8672" w:rsidR="00F14A5D" w:rsidRPr="007F54F2" w:rsidRDefault="00F14A5D" w:rsidP="00F14A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Dış politika analizinin tarihçesi ve evrimi</w:t>
            </w:r>
          </w:p>
        </w:tc>
      </w:tr>
      <w:tr w:rsidR="00F14A5D" w14:paraId="57E86735" w14:textId="77777777" w:rsidTr="00D665D8">
        <w:tc>
          <w:tcPr>
            <w:tcW w:w="579" w:type="dxa"/>
          </w:tcPr>
          <w:p w14:paraId="669ECD37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  <w:vAlign w:val="center"/>
          </w:tcPr>
          <w:p w14:paraId="75339BAE" w14:textId="2355A6D5" w:rsidR="00F14A5D" w:rsidRPr="007F54F2" w:rsidRDefault="00F14A5D" w:rsidP="00F14A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4D0">
              <w:rPr>
                <w:rFonts w:ascii="Arial" w:hAnsi="Arial" w:cs="Arial"/>
                <w:bCs/>
                <w:sz w:val="16"/>
                <w:szCs w:val="16"/>
              </w:rPr>
              <w:t>Reali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C754D0">
              <w:rPr>
                <w:rFonts w:ascii="Arial" w:hAnsi="Arial" w:cs="Arial"/>
                <w:bCs/>
                <w:sz w:val="16"/>
                <w:szCs w:val="16"/>
              </w:rPr>
              <w:t>m/Neoreali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C754D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ve dış politika analizi</w:t>
            </w:r>
          </w:p>
        </w:tc>
      </w:tr>
      <w:tr w:rsidR="00F14A5D" w14:paraId="71526E89" w14:textId="77777777" w:rsidTr="00D665D8">
        <w:tc>
          <w:tcPr>
            <w:tcW w:w="579" w:type="dxa"/>
          </w:tcPr>
          <w:p w14:paraId="09CC45FB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  <w:vAlign w:val="center"/>
          </w:tcPr>
          <w:p w14:paraId="7CA56CF8" w14:textId="5B5872CF" w:rsidR="00F14A5D" w:rsidRPr="007F54F2" w:rsidRDefault="00F14A5D" w:rsidP="00F14A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4D0">
              <w:rPr>
                <w:rFonts w:ascii="Arial" w:hAnsi="Arial" w:cs="Arial"/>
                <w:bCs/>
                <w:sz w:val="16"/>
                <w:szCs w:val="16"/>
              </w:rPr>
              <w:t>Liberali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C754D0">
              <w:rPr>
                <w:rFonts w:ascii="Arial" w:hAnsi="Arial" w:cs="Arial"/>
                <w:bCs/>
                <w:sz w:val="16"/>
                <w:szCs w:val="16"/>
              </w:rPr>
              <w:t>m/Neoliberali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C754D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ve dış politika analizi</w:t>
            </w:r>
          </w:p>
        </w:tc>
      </w:tr>
      <w:tr w:rsidR="00F14A5D" w14:paraId="266C5B28" w14:textId="77777777" w:rsidTr="00D665D8">
        <w:tc>
          <w:tcPr>
            <w:tcW w:w="579" w:type="dxa"/>
          </w:tcPr>
          <w:p w14:paraId="02677522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  <w:vAlign w:val="center"/>
          </w:tcPr>
          <w:p w14:paraId="56055A77" w14:textId="0EB24182" w:rsidR="00F14A5D" w:rsidRPr="00F14A5D" w:rsidRDefault="00F14A5D" w:rsidP="00F14A5D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5D">
              <w:rPr>
                <w:rFonts w:ascii="Arial" w:hAnsi="Arial" w:cs="Arial"/>
                <w:sz w:val="16"/>
                <w:szCs w:val="16"/>
              </w:rPr>
              <w:t>İnşacılık ve dış politika analizi</w:t>
            </w:r>
          </w:p>
        </w:tc>
      </w:tr>
      <w:tr w:rsidR="00F14A5D" w14:paraId="55DB6D5E" w14:textId="77777777" w:rsidTr="00D665D8">
        <w:tc>
          <w:tcPr>
            <w:tcW w:w="579" w:type="dxa"/>
          </w:tcPr>
          <w:p w14:paraId="25F1C26F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  <w:vAlign w:val="center"/>
          </w:tcPr>
          <w:p w14:paraId="46BCD8F1" w14:textId="7CB3CC70" w:rsidR="00F14A5D" w:rsidRPr="007F54F2" w:rsidRDefault="00F14A5D" w:rsidP="00F14A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Dış politika analizinde modeller</w:t>
            </w:r>
          </w:p>
        </w:tc>
      </w:tr>
      <w:tr w:rsidR="00F14A5D" w14:paraId="18DC1315" w14:textId="77777777" w:rsidTr="00D665D8">
        <w:tc>
          <w:tcPr>
            <w:tcW w:w="579" w:type="dxa"/>
          </w:tcPr>
          <w:p w14:paraId="5DFF847E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  <w:vAlign w:val="center"/>
          </w:tcPr>
          <w:p w14:paraId="2E8AAB58" w14:textId="0A5E4AB5" w:rsidR="00F14A5D" w:rsidRPr="00B21C91" w:rsidRDefault="00F14A5D" w:rsidP="00F14A5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Dış politika analizinde modeller</w:t>
            </w:r>
          </w:p>
        </w:tc>
      </w:tr>
      <w:tr w:rsidR="00F14A5D" w14:paraId="6C85E4D7" w14:textId="77777777" w:rsidTr="00D665D8">
        <w:tc>
          <w:tcPr>
            <w:tcW w:w="579" w:type="dxa"/>
          </w:tcPr>
          <w:p w14:paraId="4DD4C460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  <w:vAlign w:val="center"/>
          </w:tcPr>
          <w:p w14:paraId="767E761B" w14:textId="1B8F37C6" w:rsidR="00F14A5D" w:rsidRPr="00B21C91" w:rsidRDefault="00F14A5D" w:rsidP="00F14A5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Ara sınav</w:t>
            </w:r>
          </w:p>
        </w:tc>
      </w:tr>
      <w:tr w:rsidR="00F14A5D" w14:paraId="11143B53" w14:textId="77777777" w:rsidTr="00D665D8">
        <w:tc>
          <w:tcPr>
            <w:tcW w:w="579" w:type="dxa"/>
          </w:tcPr>
          <w:p w14:paraId="67A8EFD5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  <w:vAlign w:val="center"/>
          </w:tcPr>
          <w:p w14:paraId="5705B597" w14:textId="530E4653" w:rsidR="00F14A5D" w:rsidRPr="00F14A5D" w:rsidRDefault="00F14A5D" w:rsidP="00F14A5D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5D">
              <w:rPr>
                <w:rFonts w:ascii="Arial" w:hAnsi="Arial" w:cs="Arial"/>
                <w:sz w:val="16"/>
                <w:szCs w:val="16"/>
                <w:lang w:val="en-GB"/>
              </w:rPr>
              <w:t>İngiltere dış politikası</w:t>
            </w:r>
          </w:p>
        </w:tc>
      </w:tr>
      <w:tr w:rsidR="00F14A5D" w14:paraId="756DE50F" w14:textId="77777777" w:rsidTr="00D665D8">
        <w:tc>
          <w:tcPr>
            <w:tcW w:w="579" w:type="dxa"/>
          </w:tcPr>
          <w:p w14:paraId="50348DFB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  <w:vAlign w:val="center"/>
          </w:tcPr>
          <w:p w14:paraId="0B37C42F" w14:textId="5DB7A799" w:rsidR="00F14A5D" w:rsidRPr="00F14A5D" w:rsidRDefault="00F14A5D" w:rsidP="00F14A5D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5D">
              <w:rPr>
                <w:rFonts w:ascii="Arial" w:hAnsi="Arial" w:cs="Arial"/>
                <w:sz w:val="16"/>
                <w:szCs w:val="16"/>
                <w:lang w:val="en-GB"/>
              </w:rPr>
              <w:t>Fransa dış politikası</w:t>
            </w:r>
          </w:p>
        </w:tc>
      </w:tr>
      <w:tr w:rsidR="00F14A5D" w14:paraId="3B657B99" w14:textId="77777777" w:rsidTr="00D665D8">
        <w:tc>
          <w:tcPr>
            <w:tcW w:w="579" w:type="dxa"/>
          </w:tcPr>
          <w:p w14:paraId="13F9742D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  <w:vAlign w:val="center"/>
          </w:tcPr>
          <w:p w14:paraId="63EAA269" w14:textId="174E42A0" w:rsidR="00F14A5D" w:rsidRPr="007F54F2" w:rsidRDefault="00F14A5D" w:rsidP="00F14A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4D0">
              <w:rPr>
                <w:rFonts w:ascii="Arial" w:hAnsi="Arial" w:cs="Arial"/>
                <w:bCs/>
                <w:sz w:val="16"/>
                <w:szCs w:val="16"/>
                <w:lang w:val="en-GB"/>
              </w:rPr>
              <w:t>Sov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yet/Rus dış politikası</w:t>
            </w:r>
          </w:p>
        </w:tc>
      </w:tr>
      <w:tr w:rsidR="00F14A5D" w14:paraId="5A8DDAF3" w14:textId="77777777" w:rsidTr="00D665D8">
        <w:tc>
          <w:tcPr>
            <w:tcW w:w="579" w:type="dxa"/>
          </w:tcPr>
          <w:p w14:paraId="3F43742C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  <w:vAlign w:val="center"/>
          </w:tcPr>
          <w:p w14:paraId="19CCA2CA" w14:textId="032032F5" w:rsidR="00F14A5D" w:rsidRPr="007F54F2" w:rsidRDefault="00F14A5D" w:rsidP="00F14A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Çin dış politikası</w:t>
            </w:r>
          </w:p>
        </w:tc>
      </w:tr>
      <w:tr w:rsidR="00F14A5D" w14:paraId="67340FCB" w14:textId="77777777" w:rsidTr="00D665D8">
        <w:tc>
          <w:tcPr>
            <w:tcW w:w="579" w:type="dxa"/>
          </w:tcPr>
          <w:p w14:paraId="0F1585A1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  <w:vAlign w:val="center"/>
          </w:tcPr>
          <w:p w14:paraId="47B433CD" w14:textId="4533F12B" w:rsidR="00F14A5D" w:rsidRPr="00F14A5D" w:rsidRDefault="00F14A5D" w:rsidP="00F14A5D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5D">
              <w:rPr>
                <w:rFonts w:ascii="Arial" w:hAnsi="Arial" w:cs="Arial"/>
                <w:sz w:val="16"/>
                <w:szCs w:val="16"/>
                <w:lang w:val="en-GB"/>
              </w:rPr>
              <w:t>Sunum haftası</w:t>
            </w:r>
          </w:p>
        </w:tc>
      </w:tr>
      <w:tr w:rsidR="00F14A5D" w14:paraId="080C706A" w14:textId="77777777" w:rsidTr="00D665D8">
        <w:tc>
          <w:tcPr>
            <w:tcW w:w="579" w:type="dxa"/>
          </w:tcPr>
          <w:p w14:paraId="534ED428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  <w:vAlign w:val="center"/>
          </w:tcPr>
          <w:p w14:paraId="122DF493" w14:textId="498EE3D5" w:rsidR="00F14A5D" w:rsidRPr="00F14A5D" w:rsidRDefault="00F14A5D" w:rsidP="00F14A5D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5D">
              <w:rPr>
                <w:rFonts w:ascii="Arial" w:hAnsi="Arial" w:cs="Arial"/>
                <w:sz w:val="16"/>
                <w:szCs w:val="16"/>
                <w:lang w:val="en-GB"/>
              </w:rPr>
              <w:t>Sunum haftası</w:t>
            </w:r>
          </w:p>
        </w:tc>
      </w:tr>
      <w:tr w:rsidR="00F14A5D" w14:paraId="6BBF2D71" w14:textId="77777777" w:rsidTr="00D665D8">
        <w:tc>
          <w:tcPr>
            <w:tcW w:w="579" w:type="dxa"/>
          </w:tcPr>
          <w:p w14:paraId="60415125" w14:textId="77777777" w:rsidR="00F14A5D" w:rsidRDefault="00F14A5D" w:rsidP="00F14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  <w:vAlign w:val="center"/>
          </w:tcPr>
          <w:p w14:paraId="44D2F2F3" w14:textId="71E25F89" w:rsidR="00F14A5D" w:rsidRPr="00B21C91" w:rsidRDefault="00F14A5D" w:rsidP="00F14A5D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Cs w:val="16"/>
              </w:rPr>
              <w:t>Dış politika yapımında media ve kamuoyunun rolü</w:t>
            </w:r>
          </w:p>
        </w:tc>
      </w:tr>
    </w:tbl>
    <w:p w14:paraId="203F27BD" w14:textId="77777777" w:rsidR="0053087A" w:rsidRDefault="0053087A" w:rsidP="0053087A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69"/>
        <w:gridCol w:w="1080"/>
        <w:gridCol w:w="1452"/>
        <w:gridCol w:w="850"/>
        <w:gridCol w:w="1134"/>
        <w:gridCol w:w="1559"/>
        <w:gridCol w:w="851"/>
        <w:gridCol w:w="1093"/>
      </w:tblGrid>
      <w:tr w:rsidR="0053087A" w14:paraId="5855DEC2" w14:textId="77777777" w:rsidTr="0053087A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31E42F7D" w14:textId="769A0BC0" w:rsidR="0053087A" w:rsidRPr="00F625B0" w:rsidRDefault="0053087A" w:rsidP="009E4B5D">
            <w:pPr>
              <w:rPr>
                <w:b/>
                <w:bCs/>
              </w:rPr>
            </w:pPr>
            <w:r w:rsidRPr="00B54215">
              <w:rPr>
                <w:b/>
                <w:bCs/>
              </w:rPr>
              <w:t>Notla</w:t>
            </w:r>
            <w:r w:rsidR="00B54215" w:rsidRPr="00B54215">
              <w:rPr>
                <w:b/>
                <w:bCs/>
              </w:rPr>
              <w:t xml:space="preserve">ndırma </w:t>
            </w:r>
            <w:r w:rsidRPr="00B54215">
              <w:rPr>
                <w:b/>
                <w:bCs/>
              </w:rPr>
              <w:t>Us</w:t>
            </w:r>
            <w:r w:rsidR="00B54215" w:rsidRPr="00B54215">
              <w:rPr>
                <w:b/>
                <w:bCs/>
              </w:rPr>
              <w:t>u</w:t>
            </w:r>
            <w:r w:rsidRPr="00B54215">
              <w:rPr>
                <w:b/>
                <w:bCs/>
              </w:rPr>
              <w:t>l</w:t>
            </w:r>
            <w:r w:rsidR="00B54215" w:rsidRPr="00B54215">
              <w:rPr>
                <w:b/>
                <w:bCs/>
              </w:rPr>
              <w:t>ü</w:t>
            </w:r>
          </w:p>
          <w:p w14:paraId="19FEA03C" w14:textId="77777777" w:rsidR="0053087A" w:rsidRDefault="0053087A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53087A" w14:paraId="3435D494" w14:textId="77777777" w:rsidTr="006A093F">
        <w:trPr>
          <w:cantSplit/>
          <w:trHeight w:val="364"/>
        </w:trPr>
        <w:tc>
          <w:tcPr>
            <w:tcW w:w="1305" w:type="dxa"/>
            <w:shd w:val="clear" w:color="auto" w:fill="auto"/>
            <w:tcFitText/>
            <w:vAlign w:val="center"/>
          </w:tcPr>
          <w:p w14:paraId="714FA4D2" w14:textId="77777777" w:rsidR="0053087A" w:rsidRDefault="0053087A" w:rsidP="006A093F">
            <w:pPr>
              <w:jc w:val="center"/>
            </w:pPr>
            <w:r w:rsidRPr="006A093F">
              <w:rPr>
                <w:spacing w:val="103"/>
              </w:rPr>
              <w:t>Yönte</w:t>
            </w:r>
            <w:r w:rsidRPr="006A093F">
              <w:rPr>
                <w:spacing w:val="3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772FF28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3668B" w14:textId="77777777" w:rsidR="0053087A" w:rsidRDefault="0053087A" w:rsidP="009E4B5D">
            <w:r>
              <w:t>Yüzde (%)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A71A123" w14:textId="77777777" w:rsidR="0053087A" w:rsidRDefault="0053087A" w:rsidP="009E4B5D">
            <w:pPr>
              <w:jc w:val="center"/>
            </w:pPr>
            <w:r>
              <w:t>Yöntem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F8FDD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EC417" w14:textId="77777777" w:rsidR="0053087A" w:rsidRDefault="0053087A" w:rsidP="009E4B5D">
            <w:r>
              <w:t>Yüzde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55FAD" w14:textId="77777777" w:rsidR="0053087A" w:rsidRDefault="0053087A" w:rsidP="009E4B5D">
            <w:pPr>
              <w:jc w:val="center"/>
            </w:pPr>
            <w:r>
              <w:t>Yöntem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447F8" w14:textId="77777777" w:rsidR="0053087A" w:rsidRDefault="0053087A" w:rsidP="009E4B5D">
            <w:pPr>
              <w:jc w:val="center"/>
            </w:pPr>
            <w:r>
              <w:t>Adet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E699995" w14:textId="77777777" w:rsidR="0053087A" w:rsidRDefault="0053087A" w:rsidP="009E4B5D">
            <w:r>
              <w:t>Yüzde (%)</w:t>
            </w:r>
          </w:p>
        </w:tc>
      </w:tr>
      <w:tr w:rsidR="0053087A" w14:paraId="0C2261D8" w14:textId="77777777" w:rsidTr="006A093F">
        <w:trPr>
          <w:cantSplit/>
          <w:trHeight w:val="359"/>
        </w:trPr>
        <w:tc>
          <w:tcPr>
            <w:tcW w:w="1305" w:type="dxa"/>
            <w:shd w:val="clear" w:color="auto" w:fill="auto"/>
            <w:vAlign w:val="center"/>
          </w:tcPr>
          <w:p w14:paraId="1028F787" w14:textId="77777777" w:rsidR="0053087A" w:rsidRDefault="0053087A" w:rsidP="009E4B5D">
            <w:r>
              <w:t>Ödev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ACADA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8E3DE1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B099240" w14:textId="77777777" w:rsidR="0053087A" w:rsidRDefault="0053087A" w:rsidP="009E4B5D">
            <w:r>
              <w:t>Vaka Çalışması</w:t>
            </w:r>
          </w:p>
          <w:p w14:paraId="18E8974A" w14:textId="3803D676" w:rsidR="00B54215" w:rsidRDefault="00B54215" w:rsidP="009E4B5D">
            <w:r>
              <w:t>(Kur Pratik)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0AE5A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D7C93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10F0FD" w14:textId="77777777" w:rsidR="0053087A" w:rsidRDefault="0053087A" w:rsidP="009E4B5D">
            <w:r>
              <w:t>Derse Devam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9EECD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64B26F6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53087A" w14:paraId="5F97209D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E1050F8" w14:textId="77777777" w:rsidR="0053087A" w:rsidRDefault="0053087A" w:rsidP="009E4B5D">
            <w:r>
              <w:t>Quiz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2FF0817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E65DEE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CAE4BCD" w14:textId="77777777" w:rsidR="0053087A" w:rsidRDefault="0053087A" w:rsidP="009E4B5D">
            <w:r>
              <w:t>Lab. Çalışması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ED73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3D1AA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F61DE" w14:textId="77777777" w:rsidR="0053087A" w:rsidRDefault="0053087A" w:rsidP="009E4B5D">
            <w:r>
              <w:t>Saha Çalışması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A45D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FB5E175" w14:textId="77777777" w:rsidR="0053087A" w:rsidRPr="002B2949" w:rsidRDefault="0053087A" w:rsidP="009E4B5D">
            <w:pPr>
              <w:jc w:val="center"/>
            </w:pPr>
          </w:p>
        </w:tc>
      </w:tr>
      <w:tr w:rsidR="0053087A" w14:paraId="23089709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43CB2271" w14:textId="77777777" w:rsidR="0053087A" w:rsidRDefault="0053087A" w:rsidP="009E4B5D">
            <w:r>
              <w:t>Vize sınavı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2F5291B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36EBC3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FFF9AD1" w14:textId="77777777" w:rsidR="0053087A" w:rsidRDefault="0053087A" w:rsidP="009E4B5D">
            <w:r>
              <w:t>Derse katılım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30AE2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55A77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C6352" w14:textId="77777777" w:rsidR="0053087A" w:rsidRDefault="0053087A" w:rsidP="009E4B5D">
            <w:r>
              <w:t>Proje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AFD55" w14:textId="77777777" w:rsidR="0053087A" w:rsidRPr="002B2949" w:rsidRDefault="0053087A" w:rsidP="009E4B5D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9E576B9" w14:textId="77777777" w:rsidR="0053087A" w:rsidRPr="002B2949" w:rsidRDefault="0053087A" w:rsidP="009E4B5D">
            <w:pPr>
              <w:jc w:val="center"/>
            </w:pPr>
          </w:p>
        </w:tc>
      </w:tr>
      <w:tr w:rsidR="0053087A" w14:paraId="15F3FEF5" w14:textId="77777777" w:rsidTr="006A093F">
        <w:trPr>
          <w:cantSplit/>
          <w:trHeight w:val="350"/>
        </w:trPr>
        <w:tc>
          <w:tcPr>
            <w:tcW w:w="1305" w:type="dxa"/>
            <w:shd w:val="clear" w:color="auto" w:fill="auto"/>
            <w:vAlign w:val="center"/>
          </w:tcPr>
          <w:p w14:paraId="1B970977" w14:textId="77777777" w:rsidR="0053087A" w:rsidRDefault="0053087A" w:rsidP="009E4B5D">
            <w:r>
              <w:t>Dönem Ödevi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C52E1DE" w14:textId="2A741D5E" w:rsidR="0053087A" w:rsidRPr="002B2949" w:rsidRDefault="00952D2B" w:rsidP="009E4B5D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FA7A3" w14:textId="769AE3B3" w:rsidR="0053087A" w:rsidRPr="002B2949" w:rsidRDefault="00952D2B" w:rsidP="009E4B5D">
            <w:pPr>
              <w:jc w:val="center"/>
            </w:pPr>
            <w:r>
              <w:t>35 + 35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7BEF594" w14:textId="77777777" w:rsidR="0053087A" w:rsidRDefault="0053087A" w:rsidP="009E4B5D">
            <w:r>
              <w:t>Sözlü Sunum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FEEAE" w14:textId="2F1E35C7" w:rsidR="0053087A" w:rsidRPr="002B2949" w:rsidRDefault="00952D2B" w:rsidP="009E4B5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460BB" w14:textId="215E37CA" w:rsidR="0053087A" w:rsidRPr="002B2949" w:rsidRDefault="00952D2B" w:rsidP="009E4B5D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F9F67" w14:textId="77777777" w:rsidR="0053087A" w:rsidRDefault="0053087A" w:rsidP="009E4B5D">
            <w:r>
              <w:t>Final Sınavı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31879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12EA81C" w14:textId="77777777" w:rsidR="0053087A" w:rsidRPr="00245AA2" w:rsidRDefault="0053087A" w:rsidP="009E4B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48EEAE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50B940E0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43F97376" w14:textId="77777777" w:rsidR="0053087A" w:rsidRDefault="0053087A" w:rsidP="009E4B5D">
            <w:r>
              <w:rPr>
                <w:b/>
              </w:rPr>
              <w:t xml:space="preserve">Ders </w:t>
            </w:r>
            <w:r w:rsidRPr="008579B5">
              <w:rPr>
                <w:b/>
              </w:rPr>
              <w:t>Kitabı (Kitapları)</w:t>
            </w:r>
            <w:r>
              <w:t xml:space="preserve"> </w:t>
            </w:r>
          </w:p>
          <w:p w14:paraId="53CF3F39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0991F72D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6DFAC30A" w14:textId="77777777" w:rsidR="0053087A" w:rsidRDefault="0053087A" w:rsidP="009E4B5D">
            <w: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8194587" w14:textId="77777777" w:rsidR="0053087A" w:rsidRDefault="0053087A" w:rsidP="009E4B5D">
            <w: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0C8D1F4B" w14:textId="77777777" w:rsidR="0053087A" w:rsidRDefault="0053087A" w:rsidP="009E4B5D">
            <w:r>
              <w:t>Yayınevi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1CF62C28" w14:textId="77777777" w:rsidR="0053087A" w:rsidRDefault="0053087A" w:rsidP="009E4B5D">
            <w:r>
              <w:t xml:space="preserve">Yayın Yılı 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2B08BEF1" w14:textId="77777777" w:rsidR="0053087A" w:rsidRDefault="0053087A" w:rsidP="009E4B5D">
            <w:r>
              <w:t>ISBN</w:t>
            </w:r>
          </w:p>
        </w:tc>
      </w:tr>
      <w:tr w:rsidR="00952D2B" w:rsidRPr="00B21C91" w14:paraId="262FBA31" w14:textId="77777777" w:rsidTr="005A0660">
        <w:trPr>
          <w:cantSplit/>
          <w:trHeight w:val="510"/>
        </w:trPr>
        <w:tc>
          <w:tcPr>
            <w:tcW w:w="2070" w:type="dxa"/>
            <w:vAlign w:val="center"/>
          </w:tcPr>
          <w:p w14:paraId="3FC421BC" w14:textId="3F935364" w:rsidR="00952D2B" w:rsidRPr="00B21C91" w:rsidRDefault="00952D2B" w:rsidP="00952D2B">
            <w:pPr>
              <w:spacing w:before="20" w:after="20"/>
              <w:rPr>
                <w:rFonts w:cs="Arial"/>
                <w:sz w:val="20"/>
              </w:rPr>
            </w:pPr>
            <w:r w:rsidRPr="00C754D0">
              <w:rPr>
                <w:rFonts w:cs="Arial"/>
                <w:szCs w:val="16"/>
              </w:rPr>
              <w:t>Steve Smith, Amelia Hadfield and Timothy Dunne (eds.)</w:t>
            </w:r>
          </w:p>
        </w:tc>
        <w:tc>
          <w:tcPr>
            <w:tcW w:w="3742" w:type="dxa"/>
            <w:vAlign w:val="center"/>
          </w:tcPr>
          <w:p w14:paraId="624EFF76" w14:textId="11F30B55" w:rsidR="00952D2B" w:rsidRPr="00B21C91" w:rsidRDefault="00952D2B" w:rsidP="00952D2B">
            <w:pPr>
              <w:spacing w:before="20" w:after="20"/>
              <w:rPr>
                <w:rFonts w:cs="Arial"/>
                <w:sz w:val="20"/>
              </w:rPr>
            </w:pPr>
            <w:r w:rsidRPr="00C754D0">
              <w:rPr>
                <w:rFonts w:cs="Arial"/>
                <w:szCs w:val="16"/>
              </w:rPr>
              <w:t>Foreign Policy: Theories, Actors, Cases</w:t>
            </w:r>
          </w:p>
        </w:tc>
        <w:tc>
          <w:tcPr>
            <w:tcW w:w="1701" w:type="dxa"/>
            <w:vAlign w:val="center"/>
          </w:tcPr>
          <w:p w14:paraId="0BAB4DBA" w14:textId="340673DA" w:rsidR="00952D2B" w:rsidRPr="00B21C91" w:rsidRDefault="00952D2B" w:rsidP="00952D2B">
            <w:pPr>
              <w:spacing w:before="20" w:after="20"/>
              <w:rPr>
                <w:rFonts w:cs="Arial"/>
                <w:sz w:val="20"/>
              </w:rPr>
            </w:pPr>
            <w:r w:rsidRPr="00C754D0">
              <w:rPr>
                <w:rFonts w:cs="Arial"/>
                <w:szCs w:val="16"/>
              </w:rPr>
              <w:t>Oxford University Press</w:t>
            </w:r>
          </w:p>
        </w:tc>
        <w:tc>
          <w:tcPr>
            <w:tcW w:w="1418" w:type="dxa"/>
            <w:vAlign w:val="center"/>
          </w:tcPr>
          <w:p w14:paraId="45D195B6" w14:textId="76973FF8" w:rsidR="00952D2B" w:rsidRPr="00B21C91" w:rsidRDefault="00952D2B" w:rsidP="00952D2B">
            <w:pPr>
              <w:spacing w:before="20" w:after="20"/>
              <w:rPr>
                <w:rFonts w:cs="Arial"/>
                <w:sz w:val="20"/>
              </w:rPr>
            </w:pPr>
            <w:r w:rsidRPr="00C754D0">
              <w:rPr>
                <w:rFonts w:cs="Arial"/>
                <w:szCs w:val="16"/>
              </w:rPr>
              <w:t>2008</w:t>
            </w:r>
          </w:p>
        </w:tc>
        <w:tc>
          <w:tcPr>
            <w:tcW w:w="1162" w:type="dxa"/>
            <w:vAlign w:val="center"/>
          </w:tcPr>
          <w:p w14:paraId="1469495A" w14:textId="237DFBC4" w:rsidR="00952D2B" w:rsidRPr="00B21C91" w:rsidRDefault="00952D2B" w:rsidP="00952D2B">
            <w:pPr>
              <w:spacing w:before="20" w:after="20"/>
              <w:rPr>
                <w:rFonts w:cs="Arial"/>
                <w:sz w:val="20"/>
              </w:rPr>
            </w:pPr>
            <w:r w:rsidRPr="00C754D0">
              <w:rPr>
                <w:rFonts w:cs="Arial"/>
                <w:szCs w:val="16"/>
              </w:rPr>
              <w:t>978-0-9-921529-4</w:t>
            </w:r>
          </w:p>
        </w:tc>
      </w:tr>
      <w:tr w:rsidR="00952D2B" w14:paraId="7E402DC7" w14:textId="77777777" w:rsidTr="005A0660">
        <w:trPr>
          <w:cantSplit/>
          <w:trHeight w:val="510"/>
        </w:trPr>
        <w:tc>
          <w:tcPr>
            <w:tcW w:w="2070" w:type="dxa"/>
            <w:vAlign w:val="center"/>
          </w:tcPr>
          <w:p w14:paraId="1006C1FF" w14:textId="33304C9F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Marijke Breuning</w:t>
            </w:r>
          </w:p>
        </w:tc>
        <w:tc>
          <w:tcPr>
            <w:tcW w:w="3742" w:type="dxa"/>
            <w:vAlign w:val="center"/>
          </w:tcPr>
          <w:p w14:paraId="6E4CFF18" w14:textId="5EF82F00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Foreign Policy Analysis: A Comparative Introduction</w:t>
            </w:r>
          </w:p>
        </w:tc>
        <w:tc>
          <w:tcPr>
            <w:tcW w:w="1701" w:type="dxa"/>
            <w:vAlign w:val="center"/>
          </w:tcPr>
          <w:p w14:paraId="1AE3230C" w14:textId="722FF886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Palgrave Macmillan</w:t>
            </w:r>
          </w:p>
        </w:tc>
        <w:tc>
          <w:tcPr>
            <w:tcW w:w="1418" w:type="dxa"/>
            <w:vAlign w:val="center"/>
          </w:tcPr>
          <w:p w14:paraId="16C4496C" w14:textId="355E319A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2007</w:t>
            </w:r>
          </w:p>
        </w:tc>
        <w:tc>
          <w:tcPr>
            <w:tcW w:w="1162" w:type="dxa"/>
            <w:vAlign w:val="center"/>
          </w:tcPr>
          <w:p w14:paraId="03416158" w14:textId="79A1C3C6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bCs/>
                <w:szCs w:val="16"/>
              </w:rPr>
              <w:t>978-0312296193</w:t>
            </w:r>
          </w:p>
        </w:tc>
      </w:tr>
      <w:tr w:rsidR="00952D2B" w14:paraId="5EE9DCB9" w14:textId="77777777" w:rsidTr="005A0660">
        <w:trPr>
          <w:cantSplit/>
          <w:trHeight w:val="510"/>
        </w:trPr>
        <w:tc>
          <w:tcPr>
            <w:tcW w:w="2070" w:type="dxa"/>
            <w:vAlign w:val="center"/>
          </w:tcPr>
          <w:p w14:paraId="7F293011" w14:textId="4DE0732C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Ryan Beasley, Juliet Kaarbo, Jeffrey Lantis and Michael Snarr (eds.)</w:t>
            </w:r>
          </w:p>
        </w:tc>
        <w:tc>
          <w:tcPr>
            <w:tcW w:w="3742" w:type="dxa"/>
            <w:vAlign w:val="center"/>
          </w:tcPr>
          <w:p w14:paraId="6A25E7FF" w14:textId="36AF3CB8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Foreign Policy in Comparative Perspective: Domestic and International Influences on State Behavior</w:t>
            </w:r>
          </w:p>
        </w:tc>
        <w:tc>
          <w:tcPr>
            <w:tcW w:w="1701" w:type="dxa"/>
            <w:vAlign w:val="center"/>
          </w:tcPr>
          <w:p w14:paraId="4B420A29" w14:textId="7BB94199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CQ Press</w:t>
            </w:r>
          </w:p>
        </w:tc>
        <w:tc>
          <w:tcPr>
            <w:tcW w:w="1418" w:type="dxa"/>
            <w:vAlign w:val="center"/>
          </w:tcPr>
          <w:p w14:paraId="3F8CAFA5" w14:textId="0D1673DC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2002</w:t>
            </w:r>
          </w:p>
        </w:tc>
        <w:tc>
          <w:tcPr>
            <w:tcW w:w="1162" w:type="dxa"/>
            <w:vAlign w:val="center"/>
          </w:tcPr>
          <w:p w14:paraId="133B243C" w14:textId="31677A57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bCs/>
                <w:szCs w:val="16"/>
              </w:rPr>
              <w:t>978-1568026268</w:t>
            </w:r>
          </w:p>
        </w:tc>
      </w:tr>
    </w:tbl>
    <w:p w14:paraId="4CC5979F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53087A" w14:paraId="21F4D958" w14:textId="77777777" w:rsidTr="0053087A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356969D" w14:textId="77777777" w:rsidR="0053087A" w:rsidRDefault="0053087A" w:rsidP="009E4B5D">
            <w:r>
              <w:rPr>
                <w:b/>
              </w:rPr>
              <w:lastRenderedPageBreak/>
              <w:t>Yardımcı Kitap (Kitaplar)</w:t>
            </w:r>
          </w:p>
          <w:p w14:paraId="3BDCD56F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A1E7978" w14:textId="77777777" w:rsidTr="0053087A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4942CC86" w14:textId="77777777" w:rsidR="0053087A" w:rsidRDefault="0053087A" w:rsidP="009E4B5D">
            <w: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22AD1C6E" w14:textId="77777777" w:rsidR="0053087A" w:rsidRDefault="0053087A" w:rsidP="009E4B5D">
            <w: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66286314" w14:textId="77777777" w:rsidR="0053087A" w:rsidRDefault="0053087A" w:rsidP="009E4B5D">
            <w:r>
              <w:t>Yayınevi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366DDC2B" w14:textId="77777777" w:rsidR="0053087A" w:rsidRDefault="0053087A" w:rsidP="009E4B5D">
            <w:r>
              <w:t>Yayın Yılı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2FA438A9" w14:textId="77777777" w:rsidR="0053087A" w:rsidRDefault="0053087A" w:rsidP="009E4B5D">
            <w:r>
              <w:t>ISBN</w:t>
            </w:r>
          </w:p>
        </w:tc>
      </w:tr>
      <w:tr w:rsidR="00952D2B" w14:paraId="44F36B27" w14:textId="77777777" w:rsidTr="00A51C2E">
        <w:trPr>
          <w:cantSplit/>
          <w:trHeight w:val="510"/>
        </w:trPr>
        <w:tc>
          <w:tcPr>
            <w:tcW w:w="2070" w:type="dxa"/>
            <w:vAlign w:val="center"/>
          </w:tcPr>
          <w:p w14:paraId="0E26D4C7" w14:textId="42DF654F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Valerie M. Hudson</w:t>
            </w:r>
          </w:p>
        </w:tc>
        <w:tc>
          <w:tcPr>
            <w:tcW w:w="3742" w:type="dxa"/>
            <w:vAlign w:val="center"/>
          </w:tcPr>
          <w:p w14:paraId="02BD8427" w14:textId="0F3E510F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Foreign Policy Analysis: Classic and Contemporary Theory</w:t>
            </w:r>
          </w:p>
        </w:tc>
        <w:tc>
          <w:tcPr>
            <w:tcW w:w="1701" w:type="dxa"/>
            <w:vAlign w:val="center"/>
          </w:tcPr>
          <w:p w14:paraId="3B8385F0" w14:textId="64B85941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Rowman &amp; Littlefield Publishers</w:t>
            </w:r>
          </w:p>
        </w:tc>
        <w:tc>
          <w:tcPr>
            <w:tcW w:w="1418" w:type="dxa"/>
            <w:vAlign w:val="center"/>
          </w:tcPr>
          <w:p w14:paraId="3FB623C1" w14:textId="0F450448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2006</w:t>
            </w:r>
          </w:p>
        </w:tc>
        <w:tc>
          <w:tcPr>
            <w:tcW w:w="1162" w:type="dxa"/>
            <w:vAlign w:val="center"/>
          </w:tcPr>
          <w:p w14:paraId="49866C3E" w14:textId="65C206AF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bCs/>
                <w:szCs w:val="16"/>
              </w:rPr>
              <w:t>978-0742516892</w:t>
            </w:r>
          </w:p>
        </w:tc>
      </w:tr>
      <w:tr w:rsidR="00952D2B" w14:paraId="0DE2F772" w14:textId="77777777" w:rsidTr="00A51C2E">
        <w:trPr>
          <w:cantSplit/>
          <w:trHeight w:val="510"/>
        </w:trPr>
        <w:tc>
          <w:tcPr>
            <w:tcW w:w="2070" w:type="dxa"/>
            <w:vAlign w:val="center"/>
          </w:tcPr>
          <w:p w14:paraId="49628ED5" w14:textId="5F87612E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Alex Mintz and Karl DeRouen, Jr.</w:t>
            </w:r>
          </w:p>
        </w:tc>
        <w:tc>
          <w:tcPr>
            <w:tcW w:w="3742" w:type="dxa"/>
            <w:vAlign w:val="center"/>
          </w:tcPr>
          <w:p w14:paraId="67A81A58" w14:textId="77777777" w:rsidR="00952D2B" w:rsidRPr="00C754D0" w:rsidRDefault="00952D2B" w:rsidP="00952D2B">
            <w:pPr>
              <w:pStyle w:val="Heading1"/>
              <w:rPr>
                <w:rFonts w:cs="Arial"/>
                <w:sz w:val="16"/>
                <w:szCs w:val="16"/>
              </w:rPr>
            </w:pPr>
            <w:r w:rsidRPr="00C754D0">
              <w:rPr>
                <w:rFonts w:cs="Arial"/>
                <w:sz w:val="16"/>
                <w:szCs w:val="16"/>
              </w:rPr>
              <w:t>Understanding Foreign Policy Decision Making</w:t>
            </w:r>
          </w:p>
          <w:p w14:paraId="650E6F26" w14:textId="77777777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CAE29D" w14:textId="37078CBE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Cambridge University Press</w:t>
            </w:r>
          </w:p>
        </w:tc>
        <w:tc>
          <w:tcPr>
            <w:tcW w:w="1418" w:type="dxa"/>
            <w:vAlign w:val="center"/>
          </w:tcPr>
          <w:p w14:paraId="03648AC3" w14:textId="37AF28A5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2010</w:t>
            </w:r>
          </w:p>
        </w:tc>
        <w:tc>
          <w:tcPr>
            <w:tcW w:w="1162" w:type="dxa"/>
            <w:vAlign w:val="center"/>
          </w:tcPr>
          <w:p w14:paraId="432C19B4" w14:textId="55B710B1" w:rsidR="00952D2B" w:rsidRDefault="00952D2B" w:rsidP="00952D2B">
            <w:pPr>
              <w:spacing w:before="20" w:after="20"/>
              <w:rPr>
                <w:sz w:val="18"/>
                <w:szCs w:val="18"/>
              </w:rPr>
            </w:pPr>
            <w:r w:rsidRPr="00C754D0">
              <w:rPr>
                <w:rFonts w:cs="Arial"/>
                <w:szCs w:val="16"/>
              </w:rPr>
              <w:t>978-0521700092</w:t>
            </w:r>
          </w:p>
        </w:tc>
      </w:tr>
    </w:tbl>
    <w:p w14:paraId="1F4B6A01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306E6BC6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2B2E75EA" w14:textId="77777777" w:rsidR="0053087A" w:rsidRPr="00602147" w:rsidRDefault="0053087A" w:rsidP="009E4B5D">
            <w:pPr>
              <w:rPr>
                <w:b/>
              </w:rPr>
            </w:pPr>
            <w:r>
              <w:rPr>
                <w:b/>
              </w:rPr>
              <w:t>Öğretim Yöntemleri</w:t>
            </w:r>
          </w:p>
        </w:tc>
      </w:tr>
      <w:tr w:rsidR="0053087A" w14:paraId="27C7055D" w14:textId="77777777" w:rsidTr="0053087A">
        <w:trPr>
          <w:cantSplit/>
          <w:trHeight w:val="851"/>
        </w:trPr>
        <w:tc>
          <w:tcPr>
            <w:tcW w:w="10093" w:type="dxa"/>
          </w:tcPr>
          <w:p w14:paraId="172955A3" w14:textId="7FD31F39" w:rsidR="0053087A" w:rsidRPr="00070C44" w:rsidRDefault="00056D5E" w:rsidP="009E4B5D">
            <w:pPr>
              <w:spacing w:before="20" w:after="20"/>
              <w:rPr>
                <w:sz w:val="18"/>
                <w:szCs w:val="18"/>
              </w:rPr>
            </w:pPr>
            <w:r w:rsidRPr="00056D5E">
              <w:rPr>
                <w:sz w:val="18"/>
                <w:szCs w:val="18"/>
              </w:rPr>
              <w:t>Öğrencilerin derse düzenli katılımı gereklidir. Ders, öğrencilerin aktif katılımlarının beklendiği, interaktif bir yaklaşımla yürütülmektedir. Kopya ve intihal gibi etik dışı fiillere sıfır tolerans gösterilmekte; tüm öğrencilerin Çankaya Üniversitesi mevzuatına riayet etmesi beklenmektedir.</w:t>
            </w:r>
          </w:p>
        </w:tc>
      </w:tr>
    </w:tbl>
    <w:p w14:paraId="19258EA3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6E42049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2CA25A4" w14:textId="77777777" w:rsidR="000F51EE" w:rsidRDefault="000F51EE" w:rsidP="000F51EE">
            <w:pPr>
              <w:rPr>
                <w:b/>
              </w:rPr>
            </w:pPr>
            <w:r>
              <w:rPr>
                <w:b/>
              </w:rPr>
              <w:t xml:space="preserve">Laboratuvar, Stüdyo ve Mahkeme Salonu Kullanımı </w:t>
            </w:r>
          </w:p>
          <w:p w14:paraId="68E0E5FE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8FCA1A" w14:textId="77777777" w:rsidTr="0053087A">
        <w:trPr>
          <w:cantSplit/>
          <w:trHeight w:val="851"/>
        </w:trPr>
        <w:tc>
          <w:tcPr>
            <w:tcW w:w="10093" w:type="dxa"/>
          </w:tcPr>
          <w:p w14:paraId="48B75049" w14:textId="01F120B4" w:rsidR="0053087A" w:rsidRDefault="00056D5E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6490929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1CCA08BD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0AF128D6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Bilgisayar Kullanımı</w:t>
            </w:r>
          </w:p>
          <w:p w14:paraId="60B86365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4B7F39B6" w14:textId="77777777" w:rsidTr="0053087A">
        <w:trPr>
          <w:cantSplit/>
          <w:trHeight w:val="851"/>
        </w:trPr>
        <w:tc>
          <w:tcPr>
            <w:tcW w:w="10093" w:type="dxa"/>
          </w:tcPr>
          <w:p w14:paraId="0DBDF57B" w14:textId="1A404085" w:rsidR="0053087A" w:rsidRDefault="00056D5E" w:rsidP="009E4B5D">
            <w:pPr>
              <w:spacing w:before="20" w:after="20"/>
              <w:rPr>
                <w:sz w:val="18"/>
                <w:szCs w:val="18"/>
              </w:rPr>
            </w:pPr>
            <w:r w:rsidRPr="00056D5E">
              <w:rPr>
                <w:sz w:val="18"/>
                <w:szCs w:val="18"/>
              </w:rPr>
              <w:t>Bilgisayar (uzaktan eğitim, Webonline Zoom üzerinden)</w:t>
            </w:r>
          </w:p>
        </w:tc>
      </w:tr>
    </w:tbl>
    <w:p w14:paraId="2AFDEE28" w14:textId="77777777" w:rsidR="0053087A" w:rsidRDefault="0053087A" w:rsidP="0053087A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53087A" w14:paraId="6B891C94" w14:textId="77777777" w:rsidTr="0053087A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6AA64095" w14:textId="77777777" w:rsidR="0053087A" w:rsidRDefault="0053087A" w:rsidP="009E4B5D">
            <w:pPr>
              <w:rPr>
                <w:b/>
              </w:rPr>
            </w:pPr>
            <w:r>
              <w:rPr>
                <w:b/>
              </w:rPr>
              <w:t>Öğrenme Kazanımları</w:t>
            </w:r>
          </w:p>
          <w:p w14:paraId="07087BFC" w14:textId="77777777" w:rsidR="0053087A" w:rsidRDefault="0053087A" w:rsidP="009E4B5D">
            <w:pPr>
              <w:rPr>
                <w:i/>
                <w:sz w:val="14"/>
              </w:rPr>
            </w:pPr>
          </w:p>
        </w:tc>
      </w:tr>
      <w:tr w:rsidR="0053087A" w14:paraId="3B67B75D" w14:textId="77777777" w:rsidTr="0053087A">
        <w:trPr>
          <w:cantSplit/>
          <w:trHeight w:val="1985"/>
        </w:trPr>
        <w:tc>
          <w:tcPr>
            <w:tcW w:w="10093" w:type="dxa"/>
          </w:tcPr>
          <w:p w14:paraId="12197DD0" w14:textId="77777777" w:rsidR="00056D5E" w:rsidRDefault="00056D5E" w:rsidP="00056D5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34E5F">
              <w:rPr>
                <w:sz w:val="18"/>
                <w:szCs w:val="18"/>
              </w:rPr>
              <w:t>Uluslararası İlişkiler’de farklı ekollerin</w:t>
            </w:r>
            <w:r w:rsidR="00CE462B">
              <w:rPr>
                <w:sz w:val="18"/>
                <w:szCs w:val="18"/>
              </w:rPr>
              <w:t xml:space="preserve"> dış politika yapımına ve süreçlerine nasıl yaklaştığını mukayese edebilme yetisini kazanmak,</w:t>
            </w:r>
          </w:p>
          <w:p w14:paraId="0FF37C45" w14:textId="77777777" w:rsidR="00CE462B" w:rsidRDefault="00CE462B" w:rsidP="00056D5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-Politika uygulayıcıların, müstakil dış politika sorunlarına/olaylarına dair </w:t>
            </w:r>
            <w:r w:rsidR="00557599">
              <w:rPr>
                <w:sz w:val="18"/>
                <w:szCs w:val="18"/>
              </w:rPr>
              <w:t>takdir/anlama sınırlarını öğrenmek,</w:t>
            </w:r>
          </w:p>
          <w:p w14:paraId="06D2F023" w14:textId="4F03F77A" w:rsidR="00557599" w:rsidRDefault="00557599" w:rsidP="00056D5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-Benzer dış politika sorunlarının nasıl ve neden farklı karar yapım süreçleri gerektirebildiğine ve farklı sonuçlara yol verebildiğine dair kavrayış geliştirmek,</w:t>
            </w:r>
          </w:p>
          <w:p w14:paraId="6639F3EF" w14:textId="6C8FDDE4" w:rsidR="00557599" w:rsidRDefault="00557599" w:rsidP="00056D5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-Halihazırda var olan ve/veya farazi kriz</w:t>
            </w:r>
            <w:r w:rsidR="009D245D">
              <w:rPr>
                <w:sz w:val="18"/>
                <w:szCs w:val="18"/>
              </w:rPr>
              <w:t>iere</w:t>
            </w:r>
            <w:r>
              <w:rPr>
                <w:sz w:val="18"/>
                <w:szCs w:val="18"/>
              </w:rPr>
              <w:t>/siyasi konulara ilişkin simülasyon çalışması yaparak, temel tartışma ve sunum yeteneklerini geliştirmek.</w:t>
            </w:r>
          </w:p>
          <w:p w14:paraId="061A5627" w14:textId="12CE139C" w:rsidR="00557599" w:rsidRDefault="00557599" w:rsidP="00056D5E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F2302C" w14:textId="77777777" w:rsidR="0053087A" w:rsidRDefault="0053087A" w:rsidP="0053087A"/>
    <w:p w14:paraId="2A2EC31B" w14:textId="77777777" w:rsidR="0053087A" w:rsidRDefault="0053087A" w:rsidP="0053087A"/>
    <w:p w14:paraId="5EFFA259" w14:textId="77777777" w:rsidR="0053087A" w:rsidRDefault="0053087A" w:rsidP="0053087A"/>
    <w:p w14:paraId="3B65D7EA" w14:textId="77777777" w:rsidR="0053087A" w:rsidRDefault="0053087A"/>
    <w:sectPr w:rsidR="0053087A" w:rsidSect="0053087A">
      <w:pgSz w:w="11900" w:h="16840"/>
      <w:pgMar w:top="720" w:right="851" w:bottom="720" w:left="1134" w:header="431" w:footer="7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7A"/>
    <w:rsid w:val="00052479"/>
    <w:rsid w:val="00056D5E"/>
    <w:rsid w:val="000F51EE"/>
    <w:rsid w:val="00134E5F"/>
    <w:rsid w:val="0022010C"/>
    <w:rsid w:val="00266D71"/>
    <w:rsid w:val="002E7CE3"/>
    <w:rsid w:val="00366DDE"/>
    <w:rsid w:val="004B32EF"/>
    <w:rsid w:val="004E2588"/>
    <w:rsid w:val="0053087A"/>
    <w:rsid w:val="00557599"/>
    <w:rsid w:val="00646E95"/>
    <w:rsid w:val="006A093F"/>
    <w:rsid w:val="0070608A"/>
    <w:rsid w:val="0074630A"/>
    <w:rsid w:val="007716FD"/>
    <w:rsid w:val="007B3E5F"/>
    <w:rsid w:val="00952D2B"/>
    <w:rsid w:val="009C51AC"/>
    <w:rsid w:val="009D245D"/>
    <w:rsid w:val="00B25CFB"/>
    <w:rsid w:val="00B54215"/>
    <w:rsid w:val="00C866F4"/>
    <w:rsid w:val="00CE462B"/>
    <w:rsid w:val="00E41310"/>
    <w:rsid w:val="00E6193A"/>
    <w:rsid w:val="00F14A5D"/>
    <w:rsid w:val="00F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8C40"/>
  <w14:defaultImageDpi w14:val="32767"/>
  <w15:chartTrackingRefBased/>
  <w15:docId w15:val="{878C6A3D-40AB-8E40-9ED1-A738C88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87A"/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87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87A"/>
    <w:rPr>
      <w:rFonts w:ascii="Arial" w:eastAsia="Times New Roman" w:hAnsi="Arial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53087A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087A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53087A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styleId="Hyperlink">
    <w:name w:val="Hyperlink"/>
    <w:basedOn w:val="DefaultParagraphFont"/>
    <w:uiPriority w:val="99"/>
    <w:unhideWhenUsed/>
    <w:rsid w:val="00052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305.cankaya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user1 user2</cp:lastModifiedBy>
  <cp:revision>13</cp:revision>
  <cp:lastPrinted>2020-11-24T06:57:00Z</cp:lastPrinted>
  <dcterms:created xsi:type="dcterms:W3CDTF">2020-11-24T14:54:00Z</dcterms:created>
  <dcterms:modified xsi:type="dcterms:W3CDTF">2020-12-14T20:01:00Z</dcterms:modified>
</cp:coreProperties>
</file>